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700" w:rsidRPr="00F2685D" w:rsidRDefault="009F0700" w:rsidP="003677F0">
      <w:pPr>
        <w:rPr>
          <w:rFonts w:ascii="Arial" w:hAnsi="Arial" w:cs="Arial"/>
          <w:color w:val="00FFFF"/>
          <w:sz w:val="44"/>
          <w:szCs w:val="44"/>
          <w:lang w:val="nl-N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0;margin-top:19.1pt;width:198pt;height:135.35pt;z-index:251658240;visibility:visible">
            <v:imagedata r:id="rId4" o:title=""/>
            <w10:wrap type="square"/>
          </v:shape>
        </w:pict>
      </w:r>
    </w:p>
    <w:p w:rsidR="009F0700" w:rsidRPr="00F2685D" w:rsidRDefault="009F0700" w:rsidP="003677F0">
      <w:pPr>
        <w:rPr>
          <w:rFonts w:ascii="Arial" w:hAnsi="Arial" w:cs="Arial"/>
          <w:color w:val="00FFFF"/>
          <w:sz w:val="44"/>
          <w:szCs w:val="44"/>
          <w:lang w:val="nl-NL"/>
        </w:rPr>
      </w:pPr>
    </w:p>
    <w:p w:rsidR="009F0700" w:rsidRPr="00F2685D" w:rsidRDefault="009F0700" w:rsidP="003677F0">
      <w:pPr>
        <w:rPr>
          <w:rFonts w:ascii="Arial" w:hAnsi="Arial" w:cs="Arial"/>
          <w:color w:val="00FFFF"/>
          <w:sz w:val="44"/>
          <w:szCs w:val="44"/>
          <w:lang w:val="nl-NL"/>
        </w:rPr>
      </w:pPr>
    </w:p>
    <w:p w:rsidR="009F0700" w:rsidRPr="00F2685D" w:rsidRDefault="009F0700" w:rsidP="003677F0">
      <w:pPr>
        <w:rPr>
          <w:rFonts w:ascii="Arial" w:hAnsi="Arial" w:cs="Arial"/>
          <w:color w:val="008000"/>
          <w:sz w:val="96"/>
          <w:szCs w:val="96"/>
          <w:lang w:val="nl-NL"/>
        </w:rPr>
      </w:pPr>
      <w:r w:rsidRPr="00F2685D">
        <w:rPr>
          <w:rFonts w:ascii="Arial" w:hAnsi="Arial" w:cs="Arial"/>
          <w:color w:val="00FFFF"/>
          <w:sz w:val="96"/>
          <w:szCs w:val="96"/>
          <w:lang w:val="nl-NL"/>
        </w:rPr>
        <w:t>V</w:t>
      </w:r>
      <w:r w:rsidRPr="00F2685D">
        <w:rPr>
          <w:rFonts w:ascii="Arial" w:hAnsi="Arial" w:cs="Arial"/>
          <w:color w:val="0000FF"/>
          <w:sz w:val="96"/>
          <w:szCs w:val="96"/>
          <w:lang w:val="nl-NL"/>
        </w:rPr>
        <w:t>e</w:t>
      </w:r>
      <w:r w:rsidRPr="00F2685D">
        <w:rPr>
          <w:rFonts w:ascii="Arial" w:hAnsi="Arial" w:cs="Arial"/>
          <w:color w:val="0080FF"/>
          <w:sz w:val="96"/>
          <w:szCs w:val="96"/>
          <w:lang w:val="nl-NL"/>
        </w:rPr>
        <w:t>i</w:t>
      </w:r>
      <w:r w:rsidRPr="00F2685D">
        <w:rPr>
          <w:rFonts w:ascii="Arial" w:hAnsi="Arial" w:cs="Arial"/>
          <w:color w:val="C2D69B"/>
          <w:sz w:val="96"/>
          <w:szCs w:val="96"/>
          <w:lang w:val="nl-NL"/>
        </w:rPr>
        <w:t>l</w:t>
      </w:r>
      <w:r w:rsidRPr="00F2685D">
        <w:rPr>
          <w:rFonts w:ascii="Arial" w:hAnsi="Arial" w:cs="Arial"/>
          <w:color w:val="FF6600"/>
          <w:sz w:val="96"/>
          <w:szCs w:val="96"/>
          <w:lang w:val="nl-NL"/>
        </w:rPr>
        <w:t>i</w:t>
      </w:r>
      <w:r w:rsidRPr="00F2685D">
        <w:rPr>
          <w:rFonts w:ascii="Arial" w:hAnsi="Arial" w:cs="Arial"/>
          <w:color w:val="660066"/>
          <w:sz w:val="96"/>
          <w:szCs w:val="96"/>
          <w:lang w:val="nl-NL"/>
        </w:rPr>
        <w:t>g</w:t>
      </w:r>
      <w:r w:rsidRPr="00F2685D">
        <w:rPr>
          <w:rFonts w:ascii="Arial" w:hAnsi="Arial" w:cs="Arial"/>
          <w:color w:val="FF0000"/>
          <w:sz w:val="96"/>
          <w:szCs w:val="96"/>
          <w:lang w:val="nl-NL"/>
        </w:rPr>
        <w:t>e</w:t>
      </w:r>
      <w:r w:rsidRPr="00F2685D">
        <w:rPr>
          <w:rFonts w:ascii="Arial" w:hAnsi="Arial" w:cs="Arial"/>
          <w:color w:val="800000"/>
          <w:sz w:val="96"/>
          <w:szCs w:val="96"/>
          <w:lang w:val="nl-NL"/>
        </w:rPr>
        <w:t>r</w:t>
      </w:r>
      <w:r w:rsidRPr="00F2685D">
        <w:rPr>
          <w:rFonts w:ascii="Arial" w:hAnsi="Arial" w:cs="Arial"/>
          <w:color w:val="FF0000"/>
          <w:sz w:val="96"/>
          <w:szCs w:val="96"/>
          <w:lang w:val="nl-NL"/>
        </w:rPr>
        <w:t xml:space="preserve"> </w:t>
      </w:r>
      <w:r w:rsidRPr="00F2685D">
        <w:rPr>
          <w:rFonts w:ascii="Arial" w:hAnsi="Arial" w:cs="Arial"/>
          <w:color w:val="008000"/>
          <w:sz w:val="96"/>
          <w:szCs w:val="96"/>
          <w:lang w:val="nl-NL"/>
        </w:rPr>
        <w:t>?</w:t>
      </w:r>
    </w:p>
    <w:p w:rsidR="009F0700" w:rsidRPr="00F2685D" w:rsidRDefault="009F0700" w:rsidP="003B52A5">
      <w:pPr>
        <w:jc w:val="center"/>
        <w:rPr>
          <w:sz w:val="14"/>
          <w:szCs w:val="14"/>
          <w:lang w:val="nl-NL"/>
        </w:rPr>
      </w:pPr>
      <w:r w:rsidRPr="00F2685D">
        <w:rPr>
          <w:sz w:val="14"/>
          <w:szCs w:val="14"/>
          <w:lang w:val="nl-NL"/>
        </w:rPr>
        <w:t>http://www.tsa.gov/what_we_do/layers/index.shtm</w:t>
      </w:r>
    </w:p>
    <w:p w:rsidR="009F0700" w:rsidRPr="00F2685D" w:rsidRDefault="009F0700" w:rsidP="00E60C35">
      <w:pPr>
        <w:rPr>
          <w:sz w:val="40"/>
          <w:szCs w:val="40"/>
          <w:lang w:val="nl-NL"/>
        </w:rPr>
      </w:pPr>
    </w:p>
    <w:p w:rsidR="009F0700" w:rsidRDefault="009F0700" w:rsidP="003B52A5">
      <w:pPr>
        <w:jc w:val="center"/>
        <w:rPr>
          <w:sz w:val="28"/>
          <w:szCs w:val="28"/>
        </w:rPr>
      </w:pPr>
    </w:p>
    <w:p w:rsidR="009F0700" w:rsidRDefault="009F0700" w:rsidP="003B52A5">
      <w:pPr>
        <w:jc w:val="center"/>
        <w:rPr>
          <w:sz w:val="28"/>
          <w:szCs w:val="28"/>
        </w:rPr>
      </w:pPr>
    </w:p>
    <w:p w:rsidR="009F0700" w:rsidRPr="004F14B3" w:rsidRDefault="009F0700" w:rsidP="003B52A5">
      <w:pPr>
        <w:jc w:val="center"/>
        <w:rPr>
          <w:sz w:val="28"/>
          <w:szCs w:val="28"/>
        </w:rPr>
      </w:pPr>
      <w:r w:rsidRPr="004F14B3">
        <w:rPr>
          <w:sz w:val="28"/>
          <w:szCs w:val="28"/>
        </w:rPr>
        <w:t>Minor Safety, Security and Justice.</w:t>
      </w:r>
    </w:p>
    <w:p w:rsidR="009F0700" w:rsidRPr="00F2685D" w:rsidRDefault="009F0700" w:rsidP="003B52A5">
      <w:pPr>
        <w:jc w:val="center"/>
        <w:rPr>
          <w:sz w:val="28"/>
          <w:szCs w:val="28"/>
          <w:lang w:val="nl-NL"/>
        </w:rPr>
      </w:pPr>
      <w:r>
        <w:rPr>
          <w:sz w:val="28"/>
          <w:szCs w:val="28"/>
          <w:lang w:val="nl-NL"/>
        </w:rPr>
        <w:t>Sept 2013 – Feb 2014</w:t>
      </w:r>
      <w:r w:rsidRPr="00F2685D">
        <w:rPr>
          <w:sz w:val="28"/>
          <w:szCs w:val="28"/>
          <w:lang w:val="nl-NL"/>
        </w:rPr>
        <w:t xml:space="preserve"> (30 ECTS)</w:t>
      </w:r>
    </w:p>
    <w:p w:rsidR="009F0700" w:rsidRPr="00F2685D" w:rsidRDefault="009F0700" w:rsidP="003B52A5">
      <w:pPr>
        <w:jc w:val="center"/>
        <w:rPr>
          <w:sz w:val="28"/>
          <w:szCs w:val="28"/>
          <w:lang w:val="nl-NL"/>
        </w:rPr>
      </w:pPr>
      <w:r w:rsidRPr="00F2685D">
        <w:rPr>
          <w:sz w:val="28"/>
          <w:szCs w:val="28"/>
          <w:lang w:val="nl-NL"/>
        </w:rPr>
        <w:t>Voor alle TU en UL bachelor studenten in hun laatste jaar.</w:t>
      </w:r>
    </w:p>
    <w:p w:rsidR="009F0700" w:rsidRPr="00F2685D" w:rsidRDefault="009F0700" w:rsidP="003B52A5">
      <w:pPr>
        <w:jc w:val="center"/>
        <w:rPr>
          <w:sz w:val="28"/>
          <w:szCs w:val="28"/>
          <w:lang w:val="nl-NL"/>
        </w:rPr>
      </w:pPr>
    </w:p>
    <w:p w:rsidR="009F0700" w:rsidRPr="00F2685D" w:rsidRDefault="009F0700" w:rsidP="003B52A5">
      <w:pPr>
        <w:jc w:val="center"/>
        <w:rPr>
          <w:sz w:val="28"/>
          <w:szCs w:val="28"/>
          <w:lang w:val="nl-NL"/>
        </w:rPr>
        <w:sectPr w:rsidR="009F0700" w:rsidRPr="00F2685D" w:rsidSect="00E60C35">
          <w:pgSz w:w="11900" w:h="16840"/>
          <w:pgMar w:top="1440" w:right="1800" w:bottom="1440" w:left="1800" w:header="720" w:footer="720" w:gutter="0"/>
          <w:cols w:space="720"/>
          <w:docGrid w:linePitch="360"/>
        </w:sectPr>
      </w:pPr>
    </w:p>
    <w:p w:rsidR="009F0700" w:rsidRPr="00F2685D" w:rsidRDefault="009F0700" w:rsidP="003677F0">
      <w:pPr>
        <w:jc w:val="both"/>
        <w:rPr>
          <w:sz w:val="18"/>
          <w:szCs w:val="18"/>
          <w:lang w:val="nl-NL"/>
        </w:rPr>
      </w:pPr>
    </w:p>
    <w:p w:rsidR="009F0700" w:rsidRPr="00F2685D" w:rsidRDefault="009F0700" w:rsidP="003677F0">
      <w:pPr>
        <w:jc w:val="both"/>
        <w:rPr>
          <w:sz w:val="18"/>
          <w:szCs w:val="18"/>
          <w:lang w:val="nl-NL"/>
        </w:rPr>
      </w:pPr>
    </w:p>
    <w:p w:rsidR="009F0700" w:rsidRPr="00F2685D" w:rsidRDefault="009F0700" w:rsidP="003677F0">
      <w:pPr>
        <w:jc w:val="both"/>
        <w:rPr>
          <w:b/>
          <w:sz w:val="18"/>
          <w:szCs w:val="18"/>
          <w:lang w:val="nl-NL"/>
        </w:rPr>
      </w:pPr>
      <w:r w:rsidRPr="00F2685D">
        <w:rPr>
          <w:b/>
          <w:sz w:val="18"/>
          <w:szCs w:val="18"/>
          <w:lang w:val="nl-NL"/>
        </w:rPr>
        <w:t>THEMA</w:t>
      </w:r>
    </w:p>
    <w:p w:rsidR="009F0700" w:rsidRPr="00F2685D" w:rsidRDefault="009F0700" w:rsidP="003677F0">
      <w:pPr>
        <w:rPr>
          <w:sz w:val="18"/>
          <w:szCs w:val="18"/>
          <w:lang w:val="nl-NL"/>
        </w:rPr>
      </w:pPr>
      <w:r w:rsidRPr="00F2685D">
        <w:rPr>
          <w:sz w:val="18"/>
          <w:szCs w:val="18"/>
          <w:lang w:val="nl-NL"/>
        </w:rPr>
        <w:t>De SSJ minor geeft je inzicht in veiligheidsproblemen waar tegenwoordig veel over hoort: terroristische dreiging, criminaliteit, integrale veilig-heid en stabiliteit. Deze veiligheidsproblemen word-en bestudeerd binnen de context van onze complexe samenleving en de voort-durende ontwikkeling van nieuwe technologie. De beveiliging van kritieke infra-structuur. De SSJ minor geeft een aanzet tot het analyseren en tegen gaan van de voor-naamste bedreigingen van onze samenleving. Het pro-gramma behandelt drie thema’s :</w:t>
      </w:r>
    </w:p>
    <w:p w:rsidR="009F0700" w:rsidRPr="00F2685D" w:rsidRDefault="009F0700" w:rsidP="003677F0">
      <w:pPr>
        <w:rPr>
          <w:sz w:val="18"/>
          <w:szCs w:val="18"/>
          <w:lang w:val="nl-NL"/>
        </w:rPr>
      </w:pPr>
      <w:r w:rsidRPr="00F2685D">
        <w:rPr>
          <w:sz w:val="18"/>
          <w:szCs w:val="18"/>
          <w:lang w:val="nl-NL"/>
        </w:rPr>
        <w:t>• Security - Beveiliging</w:t>
      </w:r>
    </w:p>
    <w:p w:rsidR="009F0700" w:rsidRPr="00F2685D" w:rsidRDefault="009F0700" w:rsidP="003677F0">
      <w:pPr>
        <w:rPr>
          <w:sz w:val="18"/>
          <w:szCs w:val="18"/>
          <w:lang w:val="nl-NL"/>
        </w:rPr>
      </w:pPr>
      <w:r w:rsidRPr="00F2685D">
        <w:rPr>
          <w:sz w:val="18"/>
          <w:szCs w:val="18"/>
          <w:lang w:val="nl-NL"/>
        </w:rPr>
        <w:t>• Safety - Veiligheid</w:t>
      </w:r>
    </w:p>
    <w:p w:rsidR="009F0700" w:rsidRPr="00F2685D" w:rsidRDefault="009F0700" w:rsidP="003677F0">
      <w:pPr>
        <w:rPr>
          <w:sz w:val="18"/>
          <w:szCs w:val="18"/>
          <w:lang w:val="nl-NL"/>
        </w:rPr>
      </w:pPr>
      <w:r w:rsidRPr="00F2685D">
        <w:rPr>
          <w:sz w:val="18"/>
          <w:szCs w:val="18"/>
          <w:lang w:val="nl-NL"/>
        </w:rPr>
        <w:t>• Justice - Recht</w:t>
      </w:r>
    </w:p>
    <w:p w:rsidR="009F0700" w:rsidRPr="00F2685D" w:rsidRDefault="009F0700" w:rsidP="003677F0">
      <w:pPr>
        <w:rPr>
          <w:sz w:val="18"/>
          <w:szCs w:val="18"/>
          <w:lang w:val="nl-NL"/>
        </w:rPr>
      </w:pPr>
      <w:r w:rsidRPr="00F2685D">
        <w:rPr>
          <w:sz w:val="18"/>
          <w:szCs w:val="18"/>
          <w:lang w:val="nl-NL"/>
        </w:rPr>
        <w:t>De thema’s worden over-gedragen in een geïntegreerd lesprogramma.</w:t>
      </w:r>
    </w:p>
    <w:p w:rsidR="009F0700" w:rsidRDefault="009F0700" w:rsidP="003677F0">
      <w:pPr>
        <w:jc w:val="both"/>
        <w:rPr>
          <w:b/>
          <w:sz w:val="18"/>
          <w:szCs w:val="18"/>
          <w:lang w:val="nl-NL"/>
        </w:rPr>
      </w:pPr>
    </w:p>
    <w:p w:rsidR="009F0700" w:rsidRDefault="009F0700" w:rsidP="003677F0">
      <w:pPr>
        <w:jc w:val="both"/>
        <w:rPr>
          <w:b/>
          <w:sz w:val="18"/>
          <w:szCs w:val="18"/>
          <w:lang w:val="nl-NL"/>
        </w:rPr>
      </w:pPr>
    </w:p>
    <w:p w:rsidR="009F0700" w:rsidRDefault="009F0700" w:rsidP="003677F0">
      <w:pPr>
        <w:jc w:val="both"/>
        <w:rPr>
          <w:b/>
          <w:sz w:val="18"/>
          <w:szCs w:val="18"/>
          <w:lang w:val="nl-NL"/>
        </w:rPr>
      </w:pPr>
    </w:p>
    <w:p w:rsidR="009F0700" w:rsidRPr="00F2685D" w:rsidRDefault="009F0700" w:rsidP="003677F0">
      <w:pPr>
        <w:jc w:val="both"/>
        <w:rPr>
          <w:b/>
          <w:sz w:val="18"/>
          <w:szCs w:val="18"/>
          <w:lang w:val="nl-NL"/>
        </w:rPr>
      </w:pPr>
      <w:r w:rsidRPr="00F2685D">
        <w:rPr>
          <w:b/>
          <w:sz w:val="18"/>
          <w:szCs w:val="18"/>
          <w:lang w:val="nl-NL"/>
        </w:rPr>
        <w:t>CURSUS</w:t>
      </w:r>
    </w:p>
    <w:p w:rsidR="009F0700" w:rsidRPr="00F2685D" w:rsidRDefault="009F0700" w:rsidP="003677F0">
      <w:pPr>
        <w:rPr>
          <w:sz w:val="18"/>
          <w:szCs w:val="18"/>
          <w:lang w:val="nl-NL"/>
        </w:rPr>
      </w:pPr>
      <w:r w:rsidRPr="00F2685D">
        <w:rPr>
          <w:sz w:val="18"/>
          <w:szCs w:val="18"/>
          <w:lang w:val="nl-NL"/>
        </w:rPr>
        <w:t>De studiebelasting van de SSJ minor is 30 ECTS en wordt gegeven in het 5e semester van het Bachelor programma. De colleges beginnen in de eerste week van het collegejaar. Het onderwijs-programma bestaat uit 6 vakken:</w:t>
      </w:r>
    </w:p>
    <w:p w:rsidR="009F0700" w:rsidRPr="00F2685D" w:rsidRDefault="009F0700" w:rsidP="003677F0">
      <w:pPr>
        <w:rPr>
          <w:sz w:val="18"/>
          <w:szCs w:val="18"/>
          <w:lang w:val="nl-NL"/>
        </w:rPr>
      </w:pPr>
      <w:r>
        <w:rPr>
          <w:sz w:val="18"/>
          <w:szCs w:val="18"/>
          <w:lang w:val="nl-NL"/>
        </w:rPr>
        <w:t>1) Terrorisme en contraterrorisme [UL/CTC</w:t>
      </w:r>
      <w:r w:rsidRPr="00F2685D">
        <w:rPr>
          <w:sz w:val="18"/>
          <w:szCs w:val="18"/>
          <w:lang w:val="nl-NL"/>
        </w:rPr>
        <w:t>]</w:t>
      </w:r>
    </w:p>
    <w:p w:rsidR="009F0700" w:rsidRPr="004F14B3" w:rsidRDefault="009F0700" w:rsidP="003677F0">
      <w:pPr>
        <w:rPr>
          <w:sz w:val="18"/>
          <w:szCs w:val="18"/>
        </w:rPr>
      </w:pPr>
      <w:r w:rsidRPr="004F14B3">
        <w:rPr>
          <w:sz w:val="18"/>
          <w:szCs w:val="18"/>
        </w:rPr>
        <w:t>2) Security en organisatie [WM0822]</w:t>
      </w:r>
    </w:p>
    <w:p w:rsidR="009F0700" w:rsidRPr="004F14B3" w:rsidRDefault="009F0700" w:rsidP="003677F0">
      <w:pPr>
        <w:rPr>
          <w:sz w:val="18"/>
          <w:szCs w:val="18"/>
        </w:rPr>
      </w:pPr>
      <w:r w:rsidRPr="004F14B3">
        <w:rPr>
          <w:sz w:val="18"/>
          <w:szCs w:val="18"/>
        </w:rPr>
        <w:t>3) Security en techniek [WM0823]</w:t>
      </w:r>
    </w:p>
    <w:p w:rsidR="009F0700" w:rsidRPr="004F14B3" w:rsidRDefault="009F0700" w:rsidP="003677F0">
      <w:pPr>
        <w:rPr>
          <w:sz w:val="18"/>
          <w:szCs w:val="18"/>
        </w:rPr>
      </w:pPr>
      <w:r w:rsidRPr="004F14B3">
        <w:rPr>
          <w:sz w:val="18"/>
          <w:szCs w:val="18"/>
        </w:rPr>
        <w:t>4) Researching crisis and security management [UL/CTC]</w:t>
      </w:r>
    </w:p>
    <w:p w:rsidR="009F0700" w:rsidRPr="004F14B3" w:rsidRDefault="009F0700" w:rsidP="003677F0">
      <w:pPr>
        <w:rPr>
          <w:sz w:val="18"/>
          <w:szCs w:val="18"/>
        </w:rPr>
      </w:pPr>
      <w:r w:rsidRPr="004F14B3">
        <w:rPr>
          <w:sz w:val="18"/>
          <w:szCs w:val="18"/>
        </w:rPr>
        <w:t>5) Security en crisisommunicatie[UL/CTC]</w:t>
      </w:r>
    </w:p>
    <w:p w:rsidR="009F0700" w:rsidRPr="00F2685D" w:rsidRDefault="009F0700" w:rsidP="003677F0">
      <w:pPr>
        <w:rPr>
          <w:sz w:val="18"/>
          <w:szCs w:val="18"/>
          <w:lang w:val="nl-NL"/>
        </w:rPr>
      </w:pPr>
      <w:r w:rsidRPr="00F2685D">
        <w:rPr>
          <w:sz w:val="18"/>
          <w:szCs w:val="18"/>
          <w:lang w:val="nl-NL"/>
        </w:rPr>
        <w:t>6) Integratieproject [SPM6400]</w:t>
      </w:r>
    </w:p>
    <w:p w:rsidR="009F0700" w:rsidRPr="00F2685D" w:rsidRDefault="009F0700" w:rsidP="003677F0">
      <w:pPr>
        <w:rPr>
          <w:sz w:val="18"/>
          <w:szCs w:val="18"/>
          <w:lang w:val="nl-NL"/>
        </w:rPr>
      </w:pPr>
      <w:r w:rsidRPr="00F2685D">
        <w:rPr>
          <w:sz w:val="18"/>
          <w:szCs w:val="18"/>
          <w:lang w:val="nl-NL"/>
        </w:rPr>
        <w:t xml:space="preserve">Op </w:t>
      </w:r>
      <w:r>
        <w:rPr>
          <w:sz w:val="18"/>
          <w:szCs w:val="18"/>
          <w:lang w:val="nl-NL"/>
        </w:rPr>
        <w:t xml:space="preserve">de website </w:t>
      </w:r>
      <w:r w:rsidRPr="00F2685D">
        <w:rPr>
          <w:sz w:val="18"/>
          <w:szCs w:val="18"/>
          <w:lang w:val="nl-NL"/>
        </w:rPr>
        <w:t>is meer infor</w:t>
      </w:r>
      <w:r>
        <w:rPr>
          <w:sz w:val="18"/>
          <w:szCs w:val="18"/>
          <w:lang w:val="nl-NL"/>
        </w:rPr>
        <w:t>-</w:t>
      </w:r>
      <w:r w:rsidRPr="00F2685D">
        <w:rPr>
          <w:sz w:val="18"/>
          <w:szCs w:val="18"/>
          <w:lang w:val="nl-NL"/>
        </w:rPr>
        <w:t xml:space="preserve">matie </w:t>
      </w:r>
      <w:r>
        <w:rPr>
          <w:sz w:val="18"/>
          <w:szCs w:val="18"/>
          <w:lang w:val="nl-NL"/>
        </w:rPr>
        <w:t>in de vorm van een handleiding</w:t>
      </w:r>
      <w:r w:rsidRPr="00F2685D">
        <w:rPr>
          <w:sz w:val="18"/>
          <w:szCs w:val="18"/>
          <w:lang w:val="nl-NL"/>
        </w:rPr>
        <w:t xml:space="preserve">. De SSJ minor start met een security </w:t>
      </w:r>
      <w:r>
        <w:rPr>
          <w:sz w:val="18"/>
          <w:szCs w:val="18"/>
          <w:lang w:val="nl-NL"/>
        </w:rPr>
        <w:t>congres</w:t>
      </w:r>
      <w:r w:rsidRPr="00F2685D">
        <w:rPr>
          <w:sz w:val="18"/>
          <w:szCs w:val="18"/>
          <w:lang w:val="nl-NL"/>
        </w:rPr>
        <w:t xml:space="preserve"> (met excursies) van een week waar docenten en gastsprekers de basis-begrippen van security en veiligheid toelichten. Na het congres volgen twee inhoudelijke blokken waar bovenstaande vakken behandeld worden. In het integratieproject vindt een thematische verdieping plaats. De</w:t>
      </w:r>
      <w:r>
        <w:rPr>
          <w:sz w:val="18"/>
          <w:szCs w:val="18"/>
          <w:lang w:val="nl-NL"/>
        </w:rPr>
        <w:t xml:space="preserve"> studenten rapporteren over de t</w:t>
      </w:r>
      <w:r w:rsidRPr="00F2685D">
        <w:rPr>
          <w:sz w:val="18"/>
          <w:szCs w:val="18"/>
          <w:lang w:val="nl-NL"/>
        </w:rPr>
        <w:t xml:space="preserve">hematische verdieping in het eindcongres waar de </w:t>
      </w:r>
    </w:p>
    <w:p w:rsidR="009F0700" w:rsidRPr="00F2685D" w:rsidRDefault="009F0700" w:rsidP="003677F0">
      <w:pPr>
        <w:rPr>
          <w:sz w:val="18"/>
          <w:szCs w:val="18"/>
          <w:lang w:val="nl-NL"/>
        </w:rPr>
      </w:pPr>
      <w:r w:rsidRPr="00F2685D">
        <w:rPr>
          <w:sz w:val="18"/>
          <w:szCs w:val="18"/>
          <w:lang w:val="nl-NL"/>
        </w:rPr>
        <w:t>studenten zelfde sprekers zullen zijn en gastsprekers voor een afsluiting zorgen.</w:t>
      </w:r>
    </w:p>
    <w:p w:rsidR="009F0700" w:rsidRPr="00F2685D" w:rsidRDefault="009F0700" w:rsidP="003677F0">
      <w:pPr>
        <w:rPr>
          <w:sz w:val="18"/>
          <w:szCs w:val="18"/>
          <w:lang w:val="nl-NL"/>
        </w:rPr>
      </w:pPr>
    </w:p>
    <w:p w:rsidR="009F0700" w:rsidRPr="00F2685D" w:rsidRDefault="009F0700" w:rsidP="003677F0">
      <w:pPr>
        <w:rPr>
          <w:b/>
          <w:sz w:val="18"/>
          <w:szCs w:val="18"/>
          <w:lang w:val="nl-NL"/>
        </w:rPr>
      </w:pPr>
    </w:p>
    <w:p w:rsidR="009F0700" w:rsidRPr="00F2685D" w:rsidRDefault="009F0700" w:rsidP="003677F0">
      <w:pPr>
        <w:rPr>
          <w:b/>
          <w:sz w:val="18"/>
          <w:szCs w:val="18"/>
          <w:lang w:val="nl-NL"/>
        </w:rPr>
      </w:pPr>
      <w:r w:rsidRPr="00F2685D">
        <w:rPr>
          <w:b/>
          <w:sz w:val="18"/>
          <w:szCs w:val="18"/>
          <w:lang w:val="nl-NL"/>
        </w:rPr>
        <w:t>TU &amp; Leiden</w:t>
      </w:r>
    </w:p>
    <w:p w:rsidR="009F0700" w:rsidRPr="00F2685D" w:rsidRDefault="009F0700" w:rsidP="00050432">
      <w:pPr>
        <w:widowControl w:val="0"/>
        <w:autoSpaceDE w:val="0"/>
        <w:autoSpaceDN w:val="0"/>
        <w:adjustRightInd w:val="0"/>
        <w:rPr>
          <w:rFonts w:ascii="Times New Roman" w:hAnsi="Times New Roman"/>
          <w:sz w:val="18"/>
          <w:szCs w:val="18"/>
          <w:lang w:val="nl-NL"/>
        </w:rPr>
      </w:pPr>
      <w:r w:rsidRPr="00F2685D">
        <w:rPr>
          <w:rFonts w:ascii="Times New Roman" w:hAnsi="Times New Roman"/>
          <w:sz w:val="18"/>
          <w:szCs w:val="18"/>
          <w:lang w:val="nl-NL"/>
        </w:rPr>
        <w:t xml:space="preserve">Het programma van de minor Security, Safety &amp; Justice wordt gegeven in samen-werking met de Universiteit Leiden. De samenwerking tussen de TU Delft en de Universiteit Leiden betekent dat veiligheid vanuit verschillende invalshoeken wordt benaderd. </w:t>
      </w:r>
    </w:p>
    <w:p w:rsidR="009F0700" w:rsidRPr="00F2685D" w:rsidRDefault="009F0700" w:rsidP="00050432">
      <w:pPr>
        <w:widowControl w:val="0"/>
        <w:autoSpaceDE w:val="0"/>
        <w:autoSpaceDN w:val="0"/>
        <w:adjustRightInd w:val="0"/>
        <w:rPr>
          <w:rFonts w:ascii="Times New Roman" w:hAnsi="Times New Roman"/>
          <w:sz w:val="18"/>
          <w:szCs w:val="18"/>
          <w:lang w:val="nl-NL"/>
        </w:rPr>
      </w:pPr>
      <w:r w:rsidRPr="00F2685D">
        <w:rPr>
          <w:rFonts w:ascii="Times New Roman" w:hAnsi="Times New Roman"/>
          <w:sz w:val="18"/>
          <w:szCs w:val="18"/>
          <w:lang w:val="nl-NL"/>
        </w:rPr>
        <w:t xml:space="preserve">De SSJ minor wordt gegeven op Campus Den Haag bovenop het Centraal Station. </w:t>
      </w:r>
    </w:p>
    <w:p w:rsidR="009F0700" w:rsidRPr="00F2685D" w:rsidRDefault="009F0700" w:rsidP="00050432">
      <w:pPr>
        <w:rPr>
          <w:rFonts w:ascii="Times New Roman" w:hAnsi="Times New Roman"/>
          <w:sz w:val="18"/>
          <w:szCs w:val="18"/>
          <w:lang w:val="nl-NL"/>
        </w:rPr>
      </w:pPr>
    </w:p>
    <w:p w:rsidR="009F0700" w:rsidRPr="00F2685D" w:rsidRDefault="009F0700" w:rsidP="00050432">
      <w:pPr>
        <w:rPr>
          <w:sz w:val="18"/>
          <w:szCs w:val="18"/>
          <w:lang w:val="nl-NL"/>
        </w:rPr>
      </w:pPr>
    </w:p>
    <w:p w:rsidR="009F0700" w:rsidRPr="00F2685D" w:rsidRDefault="009F0700" w:rsidP="00050432">
      <w:pPr>
        <w:rPr>
          <w:b/>
          <w:sz w:val="18"/>
          <w:szCs w:val="18"/>
          <w:lang w:val="nl-NL"/>
        </w:rPr>
      </w:pPr>
      <w:r w:rsidRPr="00F2685D">
        <w:rPr>
          <w:b/>
          <w:sz w:val="18"/>
          <w:szCs w:val="18"/>
          <w:lang w:val="nl-NL"/>
        </w:rPr>
        <w:t>VRAGEN?</w:t>
      </w:r>
    </w:p>
    <w:p w:rsidR="009F0700" w:rsidRPr="00F2685D" w:rsidRDefault="009F0700" w:rsidP="003677F0">
      <w:pPr>
        <w:jc w:val="both"/>
        <w:rPr>
          <w:b/>
          <w:sz w:val="18"/>
          <w:szCs w:val="18"/>
          <w:lang w:val="nl-NL"/>
        </w:rPr>
      </w:pPr>
    </w:p>
    <w:p w:rsidR="009F0700" w:rsidRPr="00F2685D" w:rsidRDefault="009F0700" w:rsidP="003677F0">
      <w:pPr>
        <w:jc w:val="both"/>
        <w:rPr>
          <w:sz w:val="18"/>
          <w:szCs w:val="18"/>
          <w:lang w:val="nl-NL"/>
        </w:rPr>
      </w:pPr>
      <w:r>
        <w:rPr>
          <w:sz w:val="18"/>
          <w:szCs w:val="18"/>
          <w:lang w:val="nl-NL"/>
        </w:rPr>
        <w:t>f.d.j.ladan@cdh.leidenuniv.nl</w:t>
      </w:r>
    </w:p>
    <w:p w:rsidR="009F0700" w:rsidRPr="00F2685D" w:rsidRDefault="009F0700" w:rsidP="003677F0">
      <w:pPr>
        <w:jc w:val="both"/>
        <w:rPr>
          <w:sz w:val="18"/>
          <w:szCs w:val="18"/>
          <w:lang w:val="nl-NL"/>
        </w:rPr>
      </w:pPr>
    </w:p>
    <w:p w:rsidR="009F0700" w:rsidRPr="00F2685D" w:rsidRDefault="009F0700" w:rsidP="003677F0">
      <w:pPr>
        <w:jc w:val="both"/>
        <w:rPr>
          <w:sz w:val="18"/>
          <w:szCs w:val="18"/>
          <w:lang w:val="nl-NL"/>
        </w:rPr>
      </w:pPr>
    </w:p>
    <w:p w:rsidR="009F0700" w:rsidRDefault="009F0700" w:rsidP="003677F0">
      <w:pPr>
        <w:jc w:val="both"/>
        <w:rPr>
          <w:sz w:val="18"/>
          <w:szCs w:val="18"/>
          <w:lang w:val="nl-NL"/>
        </w:rPr>
      </w:pPr>
    </w:p>
    <w:p w:rsidR="009F0700" w:rsidRPr="00F2685D" w:rsidRDefault="009F0700" w:rsidP="003677F0">
      <w:pPr>
        <w:jc w:val="both"/>
        <w:rPr>
          <w:sz w:val="18"/>
          <w:szCs w:val="18"/>
          <w:lang w:val="nl-NL"/>
        </w:rPr>
      </w:pPr>
      <w:bookmarkStart w:id="0" w:name="_GoBack"/>
      <w:bookmarkEnd w:id="0"/>
    </w:p>
    <w:sectPr w:rsidR="009F0700" w:rsidRPr="00F2685D" w:rsidSect="003677F0">
      <w:type w:val="continuous"/>
      <w:pgSz w:w="11900" w:h="16840"/>
      <w:pgMar w:top="1440" w:right="1800" w:bottom="1440" w:left="180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2A8E"/>
    <w:rsid w:val="00042A8E"/>
    <w:rsid w:val="00050432"/>
    <w:rsid w:val="000561B0"/>
    <w:rsid w:val="000E5858"/>
    <w:rsid w:val="00282A3B"/>
    <w:rsid w:val="002D4A87"/>
    <w:rsid w:val="003677F0"/>
    <w:rsid w:val="003B52A5"/>
    <w:rsid w:val="00400046"/>
    <w:rsid w:val="004161A1"/>
    <w:rsid w:val="004713A4"/>
    <w:rsid w:val="004F14B3"/>
    <w:rsid w:val="0059071E"/>
    <w:rsid w:val="00780D30"/>
    <w:rsid w:val="007D0647"/>
    <w:rsid w:val="008E0253"/>
    <w:rsid w:val="008E1973"/>
    <w:rsid w:val="009C14FF"/>
    <w:rsid w:val="009F0700"/>
    <w:rsid w:val="00B25969"/>
    <w:rsid w:val="00C82E8F"/>
    <w:rsid w:val="00D0370E"/>
    <w:rsid w:val="00D16B98"/>
    <w:rsid w:val="00E60C35"/>
    <w:rsid w:val="00F268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3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80D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80D30"/>
    <w:rPr>
      <w:rFonts w:ascii="Lucida Grande" w:hAnsi="Lucida Grande" w:cs="Lucida Grande"/>
      <w:sz w:val="18"/>
      <w:szCs w:val="18"/>
    </w:rPr>
  </w:style>
  <w:style w:type="character" w:styleId="Hyperlink">
    <w:name w:val="Hyperlink"/>
    <w:basedOn w:val="DefaultParagraphFont"/>
    <w:uiPriority w:val="99"/>
    <w:rsid w:val="000561B0"/>
    <w:rPr>
      <w:rFonts w:cs="Times New Roman"/>
      <w:color w:val="0000FF"/>
      <w:u w:val="single"/>
    </w:rPr>
  </w:style>
  <w:style w:type="character" w:styleId="FollowedHyperlink">
    <w:name w:val="FollowedHyperlink"/>
    <w:basedOn w:val="DefaultParagraphFont"/>
    <w:uiPriority w:val="99"/>
    <w:semiHidden/>
    <w:rsid w:val="000561B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336</Words>
  <Characters>1918</Characters>
  <Application>Microsoft Office Outlook</Application>
  <DocSecurity>0</DocSecurity>
  <Lines>0</Lines>
  <Paragraphs>0</Paragraphs>
  <ScaleCrop>false</ScaleCrop>
  <Company>TU-Delft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van Gulijk</dc:creator>
  <cp:keywords/>
  <dc:description/>
  <cp:lastModifiedBy>fdjladan</cp:lastModifiedBy>
  <cp:revision>2</cp:revision>
  <cp:lastPrinted>2012-05-02T09:25:00Z</cp:lastPrinted>
  <dcterms:created xsi:type="dcterms:W3CDTF">2013-04-26T13:08:00Z</dcterms:created>
  <dcterms:modified xsi:type="dcterms:W3CDTF">2013-04-26T13:08:00Z</dcterms:modified>
</cp:coreProperties>
</file>